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center"/>
        <w:rPr>
          <w:szCs w:val="20"/>
        </w:rPr>
      </w:pPr>
    </w:p>
    <w:p>
      <w:pPr>
        <w:jc w:val="center"/>
        <w:rPr>
          <w:szCs w:val="20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POŽADAVKY ZADAVATELE                 A NAVRHOVANÁ ENERGETICKY ÚSPORNÁ OPATŘENÍ</w:t>
      </w:r>
    </w:p>
    <w:p>
      <w:pPr>
        <w:jc w:val="center"/>
      </w:pPr>
    </w:p>
    <w:p>
      <w:pPr>
        <w:jc w:val="center"/>
      </w:pPr>
      <w:r>
        <w:t>v rámci projektu</w:t>
      </w:r>
    </w:p>
    <w:p>
      <w:pPr>
        <w:jc w:val="center"/>
        <w:rPr>
          <w:b/>
        </w:rPr>
      </w:pPr>
    </w:p>
    <w:p>
      <w:pPr>
        <w:pStyle w:val="ClientName"/>
        <w:numPr>
          <w:ilvl w:val="0"/>
          <w:numId w:val="0"/>
        </w:numPr>
        <w:spacing w:before="120"/>
        <w:rPr>
          <w:caps/>
          <w:sz w:val="44"/>
        </w:rPr>
      </w:pPr>
      <w:r>
        <w:rPr>
          <w:rFonts w:eastAsiaTheme="minorHAnsi" w:cstheme="minorBidi"/>
          <w:b w:val="0"/>
          <w:bCs w:val="0"/>
          <w:sz w:val="20"/>
          <w:szCs w:val="22"/>
        </w:rPr>
        <w:t>Energetické úspory se zaručeným výsledkem – Nemocnice Kutná Hora</w:t>
      </w:r>
    </w:p>
    <w:p>
      <w:pPr>
        <w:pStyle w:val="Nadpis1"/>
        <w:numPr>
          <w:ilvl w:val="0"/>
          <w:numId w:val="0"/>
        </w:numPr>
        <w:jc w:val="both"/>
      </w:pPr>
      <w:r>
        <w:t>Požadavek na minimální výši úspor energie dosaženou navrženými opatřeními</w:t>
      </w:r>
    </w:p>
    <w:p/>
    <w:p>
      <w:pPr>
        <w:jc w:val="both"/>
      </w:pPr>
      <w:r>
        <w:t xml:space="preserve">Zadavatel požaduje, aby předložené návrhy na energeticky úsporná opatření snížily celkovou současnou, tj. referenční úroveň spotřeby primární energie (bez technologické spotřeby) alespoň </w:t>
      </w:r>
      <w:r>
        <w:rPr>
          <w:b/>
        </w:rPr>
        <w:t xml:space="preserve">o </w:t>
      </w:r>
      <w:proofErr w:type="gramStart"/>
      <w:r>
        <w:rPr>
          <w:b/>
        </w:rPr>
        <w:t>33,7%</w:t>
      </w:r>
      <w:proofErr w:type="gramEnd"/>
      <w:r>
        <w:rPr>
          <w:b/>
        </w:rPr>
        <w:t>.</w:t>
      </w:r>
      <w:r>
        <w:t xml:space="preserve"> Toto snížení bude měřeno v energetických jednotkách a bude zároveň uvedeno jako závazek v příloze smlouvy.</w:t>
      </w:r>
    </w:p>
    <w:p>
      <w:pPr>
        <w:jc w:val="both"/>
      </w:pPr>
      <w:r>
        <w:t>Každoroční plnění tohoto závazku bude doloženo v roční průběžné zprávě spolu s vyhodnocením dosažených úspor.</w:t>
      </w:r>
    </w:p>
    <w:p>
      <w:pPr>
        <w:jc w:val="both"/>
      </w:pPr>
      <w:r>
        <w:t>Po realizaci projektu musí budova plnit minimálně parametry energetické náročnosti definované § 6 odst. 2 vyhlášky č.78/2013 Sb., o energetické náročnosti</w:t>
      </w:r>
    </w:p>
    <w:p>
      <w:pPr>
        <w:pStyle w:val="Nadpis1"/>
        <w:numPr>
          <w:ilvl w:val="0"/>
          <w:numId w:val="0"/>
        </w:numPr>
        <w:jc w:val="both"/>
      </w:pPr>
      <w:r>
        <w:t xml:space="preserve">Požadovaná opatření </w:t>
      </w:r>
    </w:p>
    <w:p>
      <w:pPr>
        <w:pStyle w:val="Nadpis1"/>
        <w:numPr>
          <w:ilvl w:val="0"/>
          <w:numId w:val="2"/>
        </w:numPr>
      </w:pPr>
      <w:bookmarkStart w:id="0" w:name="_Toc21409683"/>
      <w:bookmarkStart w:id="1" w:name="_Toc262647352"/>
      <w:bookmarkStart w:id="2" w:name="_Toc305391374"/>
      <w:bookmarkStart w:id="3" w:name="_Toc324059992"/>
      <w:bookmarkStart w:id="4" w:name="_Toc324147019"/>
      <w:bookmarkStart w:id="5" w:name="_Toc371016317"/>
      <w:r>
        <w:t>Zateplení obvodového zdiva, výměna oken a zateplení střechy objektu</w:t>
      </w:r>
      <w:bookmarkEnd w:id="0"/>
      <w:r>
        <w:t xml:space="preserve"> </w:t>
      </w:r>
      <w:bookmarkEnd w:id="1"/>
      <w:bookmarkEnd w:id="2"/>
      <w:bookmarkEnd w:id="3"/>
      <w:bookmarkEnd w:id="4"/>
      <w:bookmarkEnd w:id="5"/>
    </w:p>
    <w:p/>
    <w:p>
      <w:pPr>
        <w:jc w:val="both"/>
      </w:pPr>
      <w:r>
        <w:t>Zadavatel požaduj, aby došlo ke zlepšení tepelně-technických vlastností budov:</w:t>
      </w:r>
    </w:p>
    <w:p>
      <w:pPr>
        <w:pStyle w:val="Odstavecseseznamem"/>
        <w:numPr>
          <w:ilvl w:val="0"/>
          <w:numId w:val="22"/>
        </w:numPr>
        <w:jc w:val="both"/>
      </w:pPr>
      <w:r>
        <w:t xml:space="preserve">Hlavní pavilon, </w:t>
      </w:r>
    </w:p>
    <w:p>
      <w:pPr>
        <w:pStyle w:val="Odstavecseseznamem"/>
        <w:numPr>
          <w:ilvl w:val="0"/>
          <w:numId w:val="22"/>
        </w:numPr>
        <w:jc w:val="both"/>
      </w:pPr>
      <w:r>
        <w:t xml:space="preserve">Pavilon LDN, </w:t>
      </w:r>
    </w:p>
    <w:p>
      <w:pPr>
        <w:pStyle w:val="Odstavecseseznamem"/>
        <w:numPr>
          <w:ilvl w:val="0"/>
          <w:numId w:val="22"/>
        </w:numPr>
        <w:jc w:val="both"/>
      </w:pPr>
      <w:r>
        <w:t>Patologie,</w:t>
      </w:r>
    </w:p>
    <w:p>
      <w:pPr>
        <w:pStyle w:val="Odstavecseseznamem"/>
        <w:numPr>
          <w:ilvl w:val="0"/>
          <w:numId w:val="22"/>
        </w:numPr>
        <w:jc w:val="both"/>
      </w:pPr>
      <w:r>
        <w:t>Technické oddělení</w:t>
      </w:r>
    </w:p>
    <w:p>
      <w:pPr>
        <w:pStyle w:val="Odstavecseseznamem"/>
        <w:numPr>
          <w:ilvl w:val="0"/>
          <w:numId w:val="22"/>
        </w:numPr>
        <w:jc w:val="both"/>
      </w:pPr>
      <w:r>
        <w:t>Vrátnice</w:t>
      </w:r>
    </w:p>
    <w:p>
      <w:pPr>
        <w:pStyle w:val="Odstavecseseznamem"/>
        <w:numPr>
          <w:ilvl w:val="0"/>
          <w:numId w:val="22"/>
        </w:numPr>
        <w:jc w:val="both"/>
      </w:pPr>
      <w:r>
        <w:t xml:space="preserve">Zařízení péče o děti   </w:t>
      </w:r>
    </w:p>
    <w:p>
      <w:pPr>
        <w:jc w:val="both"/>
      </w:pPr>
      <w:r>
        <w:lastRenderedPageBreak/>
        <w:t>Tím dojde ke snížení tepelné ztráty, a tím i k poklesu spotřeby energie pro vytápění.</w:t>
      </w:r>
    </w:p>
    <w:p>
      <w:pPr>
        <w:jc w:val="both"/>
      </w:pPr>
      <w:r>
        <w:t>Budou zvolena taková opatření na zlepšení tepelně technických vlastností konstrukcí, aby pro jednotlivé konstrukce bylo dosaženo hodnot součinitele prostupu tepla označených v ČSN 73 0540-2 jako „doporučené hodnoty“ s ohledem na technické řešení opatření.</w:t>
      </w:r>
    </w:p>
    <w:p>
      <w:pPr>
        <w:pStyle w:val="Odstavecseseznamem"/>
        <w:numPr>
          <w:ilvl w:val="0"/>
          <w:numId w:val="18"/>
        </w:numPr>
        <w:jc w:val="both"/>
      </w:pPr>
      <w:r>
        <w:t xml:space="preserve">Součinitel prostupu tepla zateplovaných konstrukcí musí vyhovět požadavku  </w:t>
      </w:r>
      <w:proofErr w:type="gramStart"/>
      <w:r>
        <w:t xml:space="preserve">   &lt;</w:t>
      </w:r>
      <w:proofErr w:type="gramEnd"/>
      <w:r>
        <w:t xml:space="preserve"> 0,85xUrec (doporučená hodnota součinitele prostupu tepla dané konstrukce uvedená v ČSN 730540-2:2011)</w:t>
      </w:r>
    </w:p>
    <w:p>
      <w:pPr>
        <w:pStyle w:val="Odstavecseseznamem"/>
        <w:ind w:left="1080"/>
        <w:jc w:val="both"/>
      </w:pPr>
    </w:p>
    <w:p>
      <w:pPr>
        <w:pStyle w:val="Odstavecseseznamem"/>
        <w:numPr>
          <w:ilvl w:val="0"/>
          <w:numId w:val="18"/>
        </w:numPr>
        <w:jc w:val="both"/>
      </w:pPr>
      <w:r>
        <w:t xml:space="preserve">Součinitel prostupu tepla měněných oken musí vyhovět požadavku </w:t>
      </w:r>
      <w:proofErr w:type="gramStart"/>
      <w:r>
        <w:t>&lt; 0</w:t>
      </w:r>
      <w:proofErr w:type="gramEnd"/>
      <w:r>
        <w:t>,80xUrec (doporučená hodnota součinitele prostupu tepla dané konstrukce uvedená v ČSN 730540-2:2011)</w:t>
      </w:r>
    </w:p>
    <w:p>
      <w:pPr>
        <w:pStyle w:val="Odstavecseseznamem"/>
      </w:pPr>
    </w:p>
    <w:p>
      <w:pPr>
        <w:pStyle w:val="Odstavecseseznamem"/>
        <w:numPr>
          <w:ilvl w:val="0"/>
          <w:numId w:val="18"/>
        </w:numPr>
        <w:jc w:val="both"/>
      </w:pPr>
      <w:r>
        <w:t xml:space="preserve">Součinitel prostupu tepla měněných dveří musí vyhovět požadavku </w:t>
      </w:r>
      <w:proofErr w:type="gramStart"/>
      <w:r>
        <w:t xml:space="preserve">&lt; </w:t>
      </w:r>
      <w:proofErr w:type="spellStart"/>
      <w:r>
        <w:t>Urec</w:t>
      </w:r>
      <w:proofErr w:type="spellEnd"/>
      <w:proofErr w:type="gramEnd"/>
      <w:r>
        <w:t xml:space="preserve"> (doporučená hodnota součinitele prostupu tepla dané konstrukce uvedená v ČSN 730540-2:2011</w:t>
      </w:r>
    </w:p>
    <w:p>
      <w:pPr>
        <w:pStyle w:val="Nadpis1"/>
        <w:numPr>
          <w:ilvl w:val="0"/>
          <w:numId w:val="2"/>
        </w:numPr>
        <w:jc w:val="both"/>
        <w:rPr>
          <w:bCs/>
          <w:szCs w:val="18"/>
        </w:rPr>
      </w:pPr>
      <w:r>
        <w:rPr>
          <w:bCs/>
          <w:szCs w:val="18"/>
        </w:rPr>
        <w:t>Rekonstrukce otopných soustav a doplnění TRV na otopná tělesa</w:t>
      </w:r>
    </w:p>
    <w:p/>
    <w:p>
      <w:pPr>
        <w:jc w:val="both"/>
      </w:pPr>
      <w:r>
        <w:t xml:space="preserve">Dle požadavku </w:t>
      </w:r>
      <w:r>
        <w:t>zadavatel je</w:t>
      </w:r>
      <w:r>
        <w:t xml:space="preserve"> navržena rekonstrukce otopných soustav v hlavním pavilonu a v pavilonu LDN, u kterých dojde i k výměně otopných těles. Celkem se jedná o 317 ks otopných těles z čehož 247 ks bude vyměněno v hlavním pavilonu a 70 ks v pavilonu LDN. Nová otopná tělesa budou vybavena termostatickými ventily a hlavicemi. Mimo výše uvedená otopná tělesa dojde k výměně stávajících radiátorových ventilů za nové termostatické ventily s hlavicemi na otopných tělesech v objektu polikliniky, kde je uvažováno s výměnou 350 ks ventilů. Požadavkem </w:t>
      </w:r>
      <w:r>
        <w:t>zadavatele je</w:t>
      </w:r>
      <w:r>
        <w:t xml:space="preserve"> instalovat hlavice s možností automatického řízení teploty v místnosti na základě externího čidla umístěného v místnosti.</w:t>
      </w:r>
    </w:p>
    <w:p>
      <w:pPr>
        <w:pStyle w:val="Nadpis1"/>
        <w:numPr>
          <w:ilvl w:val="0"/>
          <w:numId w:val="2"/>
        </w:numPr>
        <w:rPr>
          <w:bCs/>
          <w:szCs w:val="18"/>
        </w:rPr>
      </w:pPr>
      <w:r>
        <w:rPr>
          <w:bCs/>
          <w:szCs w:val="18"/>
        </w:rPr>
        <w:t>Rekonstrukce tepelného hospodářství</w:t>
      </w:r>
    </w:p>
    <w:p>
      <w:pPr>
        <w:spacing w:after="0"/>
        <w:jc w:val="both"/>
      </w:pPr>
    </w:p>
    <w:p>
      <w:pPr>
        <w:spacing w:after="0"/>
        <w:jc w:val="both"/>
      </w:pPr>
      <w:r>
        <w:t>R</w:t>
      </w:r>
      <w:r>
        <w:t xml:space="preserve">ekonstrukce stávající centrální parní plynové kotelny, rekonstrukce parních </w:t>
      </w:r>
      <w:r>
        <w:t>v</w:t>
      </w:r>
      <w:r>
        <w:t>ýměníkových stanic, části rozvodů a instalace parního vyvíječe pro potřeby kuchyně.</w:t>
      </w:r>
      <w:r>
        <w:t xml:space="preserve"> Dle podmínek OPŽP: </w:t>
      </w:r>
    </w:p>
    <w:p>
      <w:pPr>
        <w:spacing w:after="0"/>
        <w:jc w:val="both"/>
      </w:pPr>
    </w:p>
    <w:p>
      <w:pPr>
        <w:spacing w:after="0"/>
        <w:jc w:val="both"/>
        <w:rPr>
          <w:i/>
          <w:iCs/>
        </w:rPr>
      </w:pPr>
      <w:r>
        <w:rPr>
          <w:i/>
          <w:iCs/>
        </w:rPr>
        <w:t xml:space="preserve">V případě středních spalovacích zdrojů znečišťování (celkový jmenovitý tepelný příkon </w:t>
      </w:r>
    </w:p>
    <w:p>
      <w:pPr>
        <w:spacing w:after="0"/>
        <w:jc w:val="both"/>
        <w:rPr>
          <w:i/>
          <w:iCs/>
        </w:rPr>
      </w:pPr>
      <w:proofErr w:type="gramStart"/>
      <w:r>
        <w:rPr>
          <w:i/>
          <w:iCs/>
        </w:rPr>
        <w:t>1 – 50</w:t>
      </w:r>
      <w:proofErr w:type="gramEnd"/>
      <w:r>
        <w:rPr>
          <w:i/>
          <w:iCs/>
        </w:rPr>
        <w:t xml:space="preserve"> MW) nespadajících do působnosti směrnice Evropského parlamentu a Rady 2009/125/ES, budou podpořeny pouze projekty, zaručující splnění požadavků „Směrnice Evropského parlamentu a rady (EU) 2015/2193 ze dne 25. listopadu 2015 o omezování emisí některých znečišťujících látek do ovzduší ze středních spalovacích zařízení“ (dále jen „Směrnice 2015/2193“). Bez ohledu na Směrnici 2015/2193 budou podpořeny pouze projekty zaručující splnění emisních limitů pro </w:t>
      </w:r>
      <w:proofErr w:type="spellStart"/>
      <w:r>
        <w:rPr>
          <w:i/>
          <w:iCs/>
        </w:rPr>
        <w:t>NOx</w:t>
      </w:r>
      <w:proofErr w:type="spellEnd"/>
      <w:r>
        <w:rPr>
          <w:i/>
          <w:iCs/>
        </w:rPr>
        <w:t xml:space="preserve">, SO2 a CO pro rok 2018 ve vyhlášce č. 415/2012 </w:t>
      </w:r>
      <w:proofErr w:type="spellStart"/>
      <w:r>
        <w:rPr>
          <w:i/>
          <w:iCs/>
        </w:rPr>
        <w:t>Sb</w:t>
      </w:r>
      <w:proofErr w:type="spellEnd"/>
    </w:p>
    <w:p>
      <w:pPr>
        <w:spacing w:after="0"/>
        <w:jc w:val="both"/>
      </w:pPr>
    </w:p>
    <w:p>
      <w:pPr>
        <w:pStyle w:val="Nadpis1"/>
        <w:numPr>
          <w:ilvl w:val="0"/>
          <w:numId w:val="2"/>
        </w:numPr>
        <w:rPr>
          <w:bCs/>
          <w:szCs w:val="18"/>
        </w:rPr>
      </w:pPr>
      <w:r>
        <w:rPr>
          <w:bCs/>
          <w:szCs w:val="18"/>
        </w:rPr>
        <w:t>Rekonstrukce vnitřního osvětlení</w:t>
      </w:r>
    </w:p>
    <w:p>
      <w:pPr>
        <w:spacing w:after="0"/>
        <w:jc w:val="both"/>
      </w:pPr>
    </w:p>
    <w:p>
      <w:pPr>
        <w:spacing w:after="0"/>
        <w:jc w:val="both"/>
      </w:pPr>
      <w:r>
        <w:t xml:space="preserve">Rekonstrukce vnitřního osvětlení </w:t>
      </w:r>
      <w:r>
        <w:t>je</w:t>
      </w:r>
      <w:r>
        <w:t xml:space="preserve"> navržena pro objekty hlavní pavilon vč. přístavby, poliklinika a pavilon LDN. Rekonstruována bude pouze část vnitřního osvětlení, kdy bude stávající osvětlení nahrazeno novým, energeticky úsporným, osvětlením s využitím LED svítidel (převážně LED panely a LED žárovky).</w:t>
      </w:r>
    </w:p>
    <w:p>
      <w:pPr>
        <w:spacing w:after="0"/>
        <w:jc w:val="both"/>
      </w:pPr>
    </w:p>
    <w:p>
      <w:pPr>
        <w:pStyle w:val="Nadpis1"/>
        <w:numPr>
          <w:ilvl w:val="0"/>
          <w:numId w:val="2"/>
        </w:numPr>
        <w:spacing w:after="240"/>
      </w:pPr>
      <w:r>
        <w:t xml:space="preserve">Zadavatel dále požaduje: </w:t>
      </w:r>
    </w:p>
    <w:p>
      <w:pPr>
        <w:pStyle w:val="Odstavecseseznamem"/>
        <w:numPr>
          <w:ilvl w:val="0"/>
          <w:numId w:val="20"/>
        </w:numPr>
        <w:jc w:val="both"/>
        <w:rPr>
          <w:bCs/>
        </w:rPr>
      </w:pPr>
      <w:r>
        <w:rPr>
          <w:bCs/>
        </w:rPr>
        <w:t xml:space="preserve">Opatření zabraňující nadměrnému vzestupu vnitřní teploty vzduchu v pobytových místnostech v letním období </w:t>
      </w:r>
    </w:p>
    <w:p>
      <w:pPr>
        <w:pStyle w:val="Odstavecseseznamem"/>
        <w:numPr>
          <w:ilvl w:val="0"/>
          <w:numId w:val="20"/>
        </w:numPr>
        <w:jc w:val="both"/>
      </w:pPr>
      <w:r>
        <w:rPr>
          <w:bCs/>
        </w:rPr>
        <w:t>Zavedení energetického managementu dle podmínek OPŽP</w:t>
      </w:r>
      <w:bookmarkStart w:id="6" w:name="_GoBack"/>
      <w:bookmarkEnd w:id="6"/>
    </w:p>
    <w:sectPr>
      <w:headerReference w:type="default" r:id="rId7"/>
      <w:pgSz w:w="11906" w:h="16838"/>
      <w:pgMar w:top="3221" w:right="1417" w:bottom="1417" w:left="1417" w:header="1191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Zhlav"/>
      <w:tabs>
        <w:tab w:val="clear" w:pos="4536"/>
        <w:tab w:val="clear" w:pos="9072"/>
        <w:tab w:val="left" w:pos="5595"/>
      </w:tabs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2919730</wp:posOffset>
          </wp:positionH>
          <wp:positionV relativeFrom="paragraph">
            <wp:posOffset>-499110</wp:posOffset>
          </wp:positionV>
          <wp:extent cx="3032760" cy="1098550"/>
          <wp:effectExtent l="0" t="0" r="0" b="6350"/>
          <wp:wrapNone/>
          <wp:docPr id="55" name="Obrázek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32760" cy="1098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-307340</wp:posOffset>
          </wp:positionV>
          <wp:extent cx="3009900" cy="800100"/>
          <wp:effectExtent l="0" t="0" r="0" b="0"/>
          <wp:wrapNone/>
          <wp:docPr id="56" name="Obrázek 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8"/>
                  <a:stretch/>
                </pic:blipFill>
                <pic:spPr bwMode="auto">
                  <a:xfrm>
                    <a:off x="0" y="0"/>
                    <a:ext cx="30099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</w:p>
  <w:p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90805</wp:posOffset>
          </wp:positionV>
          <wp:extent cx="2895600" cy="988875"/>
          <wp:effectExtent l="0" t="0" r="0" b="1905"/>
          <wp:wrapNone/>
          <wp:docPr id="57" name="Obrázek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895600" cy="98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27E7"/>
    <w:multiLevelType w:val="hybridMultilevel"/>
    <w:tmpl w:val="0346F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61F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0593666"/>
    <w:multiLevelType w:val="multilevel"/>
    <w:tmpl w:val="B36CB5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snapToGrid w:val="0"/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2E56D54"/>
    <w:multiLevelType w:val="hybridMultilevel"/>
    <w:tmpl w:val="B5503F1A"/>
    <w:lvl w:ilvl="0" w:tplc="EE9694A2">
      <w:numFmt w:val="bullet"/>
      <w:lvlText w:val="-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02F9A"/>
    <w:multiLevelType w:val="hybridMultilevel"/>
    <w:tmpl w:val="DEEA5B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6109E"/>
    <w:multiLevelType w:val="hybridMultilevel"/>
    <w:tmpl w:val="76F40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B6AFF"/>
    <w:multiLevelType w:val="multilevel"/>
    <w:tmpl w:val="20083F7E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E7D612C"/>
    <w:multiLevelType w:val="hybridMultilevel"/>
    <w:tmpl w:val="4D485AF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3"/>
  </w:num>
  <w:num w:numId="18">
    <w:abstractNumId w:val="7"/>
  </w:num>
  <w:num w:numId="19">
    <w:abstractNumId w:val="1"/>
  </w:num>
  <w:num w:numId="20">
    <w:abstractNumId w:val="4"/>
  </w:num>
  <w:num w:numId="21">
    <w:abstractNumId w:val="1"/>
  </w:num>
  <w:num w:numId="22">
    <w:abstractNumId w:val="5"/>
  </w:num>
  <w:num w:numId="23">
    <w:abstractNumId w:val="1"/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30BCF-670A-44F7-8CE2-0442B81D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Verdana" w:hAnsi="Verdan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aps/>
      <w:sz w:val="18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aliases w:val="Nadpis 3 úroveò,Nadpis 3 úroveň"/>
    <w:basedOn w:val="Normln"/>
    <w:next w:val="Normln"/>
    <w:link w:val="Nadpis3Char"/>
    <w:uiPriority w:val="9"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ClientName">
    <w:name w:val="Client Name"/>
    <w:basedOn w:val="Nadpis2"/>
    <w:uiPriority w:val="99"/>
    <w:pPr>
      <w:keepLines w:val="0"/>
      <w:spacing w:before="0" w:line="240" w:lineRule="auto"/>
      <w:jc w:val="center"/>
    </w:pPr>
    <w:rPr>
      <w:rFonts w:ascii="Verdana" w:eastAsia="MS Mincho" w:hAnsi="Verdana" w:cs="Arial"/>
      <w:b/>
      <w:bCs/>
      <w:color w:val="auto"/>
      <w:sz w:val="48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Pr>
      <w:rFonts w:ascii="Verdana" w:eastAsiaTheme="majorEastAsia" w:hAnsi="Verdana" w:cstheme="majorBidi"/>
      <w:b/>
      <w:caps/>
      <w:sz w:val="18"/>
      <w:szCs w:val="32"/>
    </w:rPr>
  </w:style>
  <w:style w:type="character" w:customStyle="1" w:styleId="Nadpis3Char">
    <w:name w:val="Nadpis 3 Char"/>
    <w:aliases w:val="Nadpis 3 úroveò Char,Nadpis 3 úroveň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3445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9</vt:i4>
      </vt:variant>
    </vt:vector>
  </HeadingPairs>
  <TitlesOfParts>
    <vt:vector size="10" baseType="lpstr">
      <vt:lpstr/>
      <vt:lpstr>    Energetické úspory se zaručeným výsledkem – Nemocnice Kutná Hora</vt:lpstr>
      <vt:lpstr>Požadavek na minimální výši úspor energie dosaženou navrženými opatřeními</vt:lpstr>
      <vt:lpstr>Požadovaná opatření </vt:lpstr>
      <vt:lpstr>Zateplení obvodového zdiva, výměna oken a zateplení střechy objektu </vt:lpstr>
      <vt:lpstr>Rekonstrukce otopných soustav a doplnění TRV na otopná tělesa</vt:lpstr>
      <vt:lpstr>Rekonstrukce tepelného hospodářství</vt:lpstr>
      <vt:lpstr>Rekonstrukce vnitřního osvětlení</vt:lpstr>
      <vt:lpstr/>
      <vt:lpstr>Zadavatel dále požaduje: </vt:lpstr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Martin Zapletal</cp:lastModifiedBy>
  <cp:revision>2</cp:revision>
  <dcterms:created xsi:type="dcterms:W3CDTF">2020-03-26T14:00:00Z</dcterms:created>
  <dcterms:modified xsi:type="dcterms:W3CDTF">2020-03-26T14:00:00Z</dcterms:modified>
</cp:coreProperties>
</file>